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Liquidación final de sueldo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LA NÓMINA</w:t>
      </w:r>
    </w:p>
    <w:p>
      <w:pPr>
        <w:spacing w:after="90" w:line="264" w:lineRule="auto"/>
      </w:pPr>
      <w:r>
        <w:t xml:space="preserve">Empleador: Tienda Demo del Carmen S.L.</w:t>
      </w:r>
    </w:p>
    <w:p>
      <w:pPr>
        <w:spacing w:after="90" w:line="264" w:lineRule="auto"/>
      </w:pPr>
      <w:r>
        <w:t xml:space="preserve">Trabajador: Nuria Beltrán (personaje)</w:t>
      </w:r>
    </w:p>
    <w:p>
      <w:pPr>
        <w:spacing w:after="90" w:line="264" w:lineRule="auto"/>
      </w:pPr>
      <w:r>
        <w:t xml:space="preserve">Último día: 15 de septiembre de 2026</w:t>
      </w:r>
    </w:p>
    <w:p>
      <w:pPr>
        <w:spacing w:after="90" w:line="264" w:lineRule="auto"/>
      </w:pPr>
      <w:r>
        <w:t xml:space="preserve">Sueldo base: EUR 0</w:t>
      </w:r>
    </w:p>
    <w:p>
      <w:pPr>
        <w:spacing w:after="90" w:line="264" w:lineRule="auto"/>
      </w:pPr>
      <w:r>
        <w:t xml:space="preserve">Otro haber: EUR 640</w:t>
      </w:r>
    </w:p>
    <w:p>
      <w:pPr>
        <w:spacing w:after="90" w:line="264" w:lineRule="auto"/>
      </w:pPr>
      <w:r>
        <w:t xml:space="preserve">Total haberes: EUR 640</w:t>
      </w:r>
    </w:p>
    <w:p>
      <w:pPr>
        <w:spacing w:after="90" w:line="264" w:lineRule="auto"/>
      </w:pPr>
      <w:r>
        <w:t xml:space="preserve">Otro descuento: EUR 0</w:t>
      </w:r>
    </w:p>
    <w:p>
      <w:pPr>
        <w:spacing w:after="90" w:line="264" w:lineRule="auto"/>
      </w:pPr>
      <w:r>
        <w:t xml:space="preserve">Neto: EUR 640</w:t>
      </w:r>
    </w:p>
    <w:p>
      <w:pPr>
        <w:spacing w:after="90" w:line="264" w:lineRule="auto"/>
      </w:pPr>
      <w:r>
        <w:t xml:space="preserve">Detalle del haber: saldo de sueldo hasta el 15 de septiembre, EUR 420, y vacaciones ya calculadas por nómina, EUR 220.</w:t>
      </w:r>
    </w:p>
    <w:p>
      <w:pPr>
        <w:spacing w:after="90" w:line="264" w:lineRule="auto"/>
      </w:pPr>
      <w:r>
        <w:t xml:space="preserve">Indemnización: no figura. Esta hoja no decide si corresponde ni aplica una fórmula.</w:t>
      </w:r>
    </w:p>
    <w:p>
      <w:pPr>
        <w:spacing w:after="90" w:line="264" w:lineRule="auto"/>
      </w:pPr>
      <w:r>
        <w:t xml:space="preserve">El trabajador revisa las cifras antes de firmar el recibí. Firmar el recibí no se redacta aquí como una renuncia de derechos.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Liquidación final de sueldo</dc:title>
  <dc:creator>OpenToolSuite</dc:creator>
  <dc:description>Fictional editable sample for authorised review</dc:description>
</cp:coreProperties>
</file>