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referencia personal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Quien escribe: Andrés Molina (personaje)</w:t>
      </w:r>
    </w:p>
    <w:p>
      <w:pPr>
        <w:spacing w:after="90" w:line="264" w:lineRule="auto"/>
      </w:pPr>
      <w:r>
        <w:t xml:space="preserve">Ciudad: Bogotá</w:t>
      </w:r>
    </w:p>
    <w:p>
      <w:pPr>
        <w:spacing w:after="90" w:line="264" w:lineRule="auto"/>
      </w:pPr>
      <w:r>
        <w:t xml:space="preserve">Relación: vecino desde 2019, en el mismo edificio</w:t>
      </w:r>
    </w:p>
    <w:p>
      <w:pPr>
        <w:spacing w:after="90" w:line="264" w:lineRule="auto"/>
      </w:pPr>
      <w:r>
        <w:t xml:space="preserve">Persona: Valentina Ríos (personaje)</w:t>
      </w:r>
    </w:p>
    <w:p>
      <w:pPr>
        <w:spacing w:after="90" w:line="264" w:lineRule="auto"/>
      </w:pPr>
      <w:r>
        <w:t xml:space="preserve">Estimada persona que lee,</w:t>
      </w:r>
    </w:p>
    <w:p>
      <w:pPr>
        <w:spacing w:after="90" w:line="264" w:lineRule="auto"/>
      </w:pPr>
      <w:r>
        <w:t xml:space="preserve">Conozco a Valentina Ríos desde 2019 porque vivimos en el mismo edificio. Puedo decir que avisa cuando va a hacer obra, que recoge el paquete de un vecino si el portero se lo pide y que en las reuniones de copropiedad habla de los temas del edificio, no de las personas.</w:t>
      </w:r>
    </w:p>
    <w:p>
      <w:pPr>
        <w:spacing w:after="90" w:line="264" w:lineRule="auto"/>
      </w:pPr>
      <w:r>
        <w:t xml:space="preserve">No soy su empleador. No conozco su sueldo, su cargo ni su contrato. Esta carta no es una constancia laboral.</w:t>
      </w:r>
    </w:p>
    <w:p>
      <w:pPr>
        <w:spacing w:after="90" w:line="264" w:lineRule="auto"/>
      </w:pPr>
      <w:r>
        <w:t xml:space="preserve">Firma: Andrés Molina</w:t>
      </w:r>
    </w:p>
    <w:p>
      <w:pPr>
        <w:spacing w:after="90" w:line="264" w:lineRule="auto"/>
      </w:pPr>
      <w:r>
        <w:t xml:space="preserve">Teléfono: [uno que Andrés contesta]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referencia personal</dc:title>
  <dc:creator>OpenToolSuite</dc:creator>
  <dc:description>Fictional editable sample for authorised review</dc:description>
</cp:coreProperties>
</file>